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《中国人事科学》投稿指南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snapToGrid w:val="0"/>
        <w:spacing w:line="420" w:lineRule="exact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1.基本要求。</w:t>
      </w:r>
      <w:r>
        <w:rPr>
          <w:rFonts w:hint="eastAsia"/>
          <w:sz w:val="24"/>
          <w:szCs w:val="24"/>
        </w:rPr>
        <w:t>来稿应是未在其他期刊发表过的作品，系作者独立研究完成的作品，内容不得涉及国家机密，也无任何违法、违纪和违反学术道德的内容。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2.投稿方式。</w:t>
      </w:r>
      <w:r>
        <w:rPr>
          <w:rFonts w:hint="eastAsia"/>
          <w:sz w:val="24"/>
          <w:szCs w:val="24"/>
        </w:rPr>
        <w:t>本刊采用网络投稿与邮箱投稿相结合的方式。</w:t>
      </w:r>
    </w:p>
    <w:p>
      <w:pPr>
        <w:snapToGrid w:val="0"/>
        <w:spacing w:line="42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在线投稿：</w:t>
      </w:r>
      <w:r>
        <w:fldChar w:fldCharType="begin"/>
      </w:r>
      <w:r>
        <w:instrText xml:space="preserve"> HYPERLINK "http://pykm.cbpt.cnki.net" </w:instrText>
      </w:r>
      <w:r>
        <w:fldChar w:fldCharType="separate"/>
      </w:r>
      <w:r>
        <w:rPr>
          <w:rStyle w:val="4"/>
          <w:rFonts w:hint="eastAsia"/>
          <w:color w:val="auto"/>
          <w:sz w:val="24"/>
          <w:szCs w:val="24"/>
          <w:u w:val="none"/>
        </w:rPr>
        <w:t>http://pykm.cbpt.cnki.net</w:t>
      </w:r>
      <w:r>
        <w:rPr>
          <w:rStyle w:val="4"/>
          <w:rFonts w:hint="eastAsia"/>
          <w:color w:val="auto"/>
          <w:sz w:val="24"/>
          <w:szCs w:val="24"/>
          <w:u w:val="none"/>
        </w:rPr>
        <w:fldChar w:fldCharType="end"/>
      </w:r>
      <w:r>
        <w:rPr>
          <w:rFonts w:hint="eastAsia"/>
          <w:sz w:val="24"/>
          <w:szCs w:val="24"/>
        </w:rPr>
        <w:t xml:space="preserve">     投稿邮箱：</w:t>
      </w:r>
      <w:r>
        <w:fldChar w:fldCharType="begin"/>
      </w:r>
      <w:r>
        <w:instrText xml:space="preserve"> HYPERLINK "mailto:zgrskx001@163.com" </w:instrText>
      </w:r>
      <w:r>
        <w:fldChar w:fldCharType="separate"/>
      </w:r>
      <w:r>
        <w:rPr>
          <w:rFonts w:hint="eastAsia"/>
          <w:sz w:val="24"/>
          <w:szCs w:val="24"/>
        </w:rPr>
        <w:t>zgrskx@rky.org.cn</w:t>
      </w:r>
      <w:r>
        <w:rPr>
          <w:rFonts w:hint="eastAsia"/>
          <w:sz w:val="24"/>
          <w:szCs w:val="24"/>
        </w:rPr>
        <w:fldChar w:fldCharType="end"/>
      </w:r>
    </w:p>
    <w:p>
      <w:pPr>
        <w:snapToGrid w:val="0"/>
        <w:spacing w:line="420" w:lineRule="exact"/>
        <w:ind w:firstLine="54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3.内容要求。</w:t>
      </w:r>
      <w:r>
        <w:rPr>
          <w:rFonts w:hint="eastAsia"/>
          <w:sz w:val="24"/>
          <w:szCs w:val="24"/>
        </w:rPr>
        <w:t>来</w:t>
      </w:r>
      <w:r>
        <w:rPr>
          <w:sz w:val="24"/>
          <w:szCs w:val="24"/>
        </w:rPr>
        <w:t>稿（含图表）每篇字数在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000</w:t>
      </w:r>
      <w:r>
        <w:rPr>
          <w:rFonts w:hint="eastAsia" w:asciiTheme="minorEastAsia" w:hAnsiTheme="minor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字之间为宜。</w:t>
      </w:r>
      <w:r>
        <w:rPr>
          <w:rFonts w:hint="eastAsia"/>
          <w:sz w:val="24"/>
          <w:szCs w:val="24"/>
        </w:rPr>
        <w:t>稿件</w:t>
      </w:r>
      <w:r>
        <w:rPr>
          <w:sz w:val="24"/>
          <w:szCs w:val="24"/>
        </w:rPr>
        <w:t>要论点明确、数据可靠、逻辑严密、文字精炼，每篇论文必须包括题目、摘要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关键词、正文、参考文献和作者简介（包括姓名、</w:t>
      </w:r>
      <w:r>
        <w:rPr>
          <w:rFonts w:hint="eastAsia"/>
          <w:sz w:val="24"/>
          <w:szCs w:val="24"/>
        </w:rPr>
        <w:t>单位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职务/</w:t>
      </w:r>
      <w:r>
        <w:rPr>
          <w:sz w:val="24"/>
          <w:szCs w:val="24"/>
        </w:rPr>
        <w:t>职称、</w:t>
      </w:r>
      <w:r>
        <w:rPr>
          <w:rFonts w:hint="eastAsia"/>
          <w:sz w:val="24"/>
          <w:szCs w:val="24"/>
        </w:rPr>
        <w:t>联系方式等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。如</w:t>
      </w:r>
      <w:r>
        <w:rPr>
          <w:sz w:val="24"/>
          <w:szCs w:val="24"/>
        </w:rPr>
        <w:t>属何项目、何基金（编号）资助，请在文稿的首页</w:t>
      </w:r>
      <w:r>
        <w:rPr>
          <w:rFonts w:hint="eastAsia"/>
          <w:sz w:val="24"/>
          <w:szCs w:val="24"/>
        </w:rPr>
        <w:t>脚注</w:t>
      </w:r>
      <w:r>
        <w:rPr>
          <w:sz w:val="24"/>
          <w:szCs w:val="24"/>
        </w:rPr>
        <w:t>处注明。</w:t>
      </w:r>
    </w:p>
    <w:p>
      <w:pPr>
        <w:snapToGrid w:val="0"/>
        <w:spacing w:line="420" w:lineRule="exact"/>
        <w:ind w:firstLine="540"/>
        <w:rPr>
          <w:rFonts w:ascii="Calibri" w:hAnsi="Calibri"/>
          <w:sz w:val="24"/>
          <w:szCs w:val="24"/>
        </w:rPr>
      </w:pPr>
      <w:r>
        <w:rPr>
          <w:rFonts w:hint="eastAsia" w:ascii="Calibri" w:hAnsi="Calibri"/>
          <w:b/>
          <w:sz w:val="24"/>
          <w:szCs w:val="24"/>
        </w:rPr>
        <w:t>4.公式、图表规范。</w:t>
      </w:r>
      <w:r>
        <w:rPr>
          <w:rFonts w:hint="eastAsia" w:ascii="Calibri" w:hAnsi="Calibri"/>
          <w:sz w:val="24"/>
          <w:szCs w:val="24"/>
        </w:rPr>
        <w:t>来稿若含数学公式、图表，请务必保证其中的符号、数字、文字、图线清晰规范。图表请勿使用彩色和阴影背景，并请标明名称和资料来源，表格尽可能采用三线开放式。数</w:t>
      </w:r>
      <w:r>
        <w:rPr>
          <w:rFonts w:ascii="Calibri" w:hAnsi="Calibri"/>
          <w:sz w:val="24"/>
          <w:szCs w:val="24"/>
        </w:rPr>
        <w:t>量和单位的使用请参照中华人民共和国法定计量单位最新标准。</w:t>
      </w:r>
    </w:p>
    <w:p>
      <w:pPr>
        <w:snapToGrid w:val="0"/>
        <w:spacing w:line="420" w:lineRule="exact"/>
        <w:ind w:firstLine="46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5.引用规范。</w:t>
      </w:r>
      <w:r>
        <w:rPr>
          <w:rFonts w:hint="eastAsia"/>
          <w:sz w:val="24"/>
          <w:szCs w:val="24"/>
        </w:rPr>
        <w:t>本刊正文采用尾注、上标格式，如</w:t>
      </w:r>
      <w:r>
        <w:rPr>
          <w:rFonts w:hint="eastAsia"/>
          <w:sz w:val="24"/>
          <w:szCs w:val="24"/>
          <w:vertAlign w:val="superscript"/>
        </w:rPr>
        <w:t>①②③……</w:t>
      </w:r>
      <w:r>
        <w:rPr>
          <w:rFonts w:hint="eastAsia"/>
          <w:sz w:val="24"/>
          <w:szCs w:val="24"/>
        </w:rPr>
        <w:t>。来稿务必确保文中引用与文末尾注一一对应。尾注列于正文之后，参考文献之前，注释序号用①②③……标识。参考文献按引用的先后顺序排列，正文中采用上标格式标明顺序码，如</w:t>
      </w:r>
      <w:r>
        <w:rPr>
          <w:rFonts w:hint="eastAsia"/>
          <w:sz w:val="24"/>
          <w:szCs w:val="24"/>
          <w:vertAlign w:val="superscript"/>
        </w:rPr>
        <w:t>[1][2][3]……</w:t>
      </w:r>
      <w:r>
        <w:rPr>
          <w:rFonts w:hint="eastAsia"/>
          <w:sz w:val="24"/>
          <w:szCs w:val="24"/>
        </w:rPr>
        <w:t>。注释序号用[1][2][3]……标识。</w:t>
      </w:r>
    </w:p>
    <w:p>
      <w:pPr>
        <w:snapToGrid w:val="0"/>
        <w:spacing w:line="420" w:lineRule="exact"/>
        <w:ind w:firstLine="46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6.著录格式。</w:t>
      </w:r>
      <w:r>
        <w:rPr>
          <w:rFonts w:hint="eastAsia"/>
          <w:sz w:val="24"/>
          <w:szCs w:val="24"/>
        </w:rPr>
        <w:t>引文尾注、参考文献示例如下：</w:t>
      </w:r>
    </w:p>
    <w:p>
      <w:pPr>
        <w:snapToGrid w:val="0"/>
        <w:spacing w:line="42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（1）连续出版物著录格式：</w:t>
      </w:r>
    </w:p>
    <w:p>
      <w:pPr>
        <w:snapToGrid w:val="0"/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主要责任者.题名:其他题名信息[文献类型标志（电子文献必备,其他文献任选）].年,卷（期）-年,卷（期）.出版地:出版者,出版年[引用日期（联机文献必备,其他电子文献任选）].获取和访问路径（联机文献必备）.</w:t>
      </w:r>
    </w:p>
    <w:p>
      <w:pPr>
        <w:snapToGrid w:val="0"/>
        <w:spacing w:line="42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中国图书馆学会.图书馆学通讯[J].1957(1)-1990(4).北京:北京图书馆,1957-1990.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（2）连续出版物中析出文献著录格式：</w:t>
      </w:r>
    </w:p>
    <w:p>
      <w:pPr>
        <w:snapToGrid w:val="0"/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析出文献主要责任者.析出文献题名[文献类型标志（电子文献必备，其他文献任选）].连续出版物题名：其他题名信息,年,卷（期）：页码[引用日期（联机文献必备，其他电子文献任选）].获取和访问路径(联机文献必备).</w:t>
      </w:r>
    </w:p>
    <w:p>
      <w:pPr>
        <w:snapToGrid w:val="0"/>
        <w:spacing w:line="420" w:lineRule="exac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王通讯.大数据与人才管理升级[J].中国人才,2013.17:32-33.</w:t>
      </w:r>
    </w:p>
    <w:p>
      <w:pPr>
        <w:snapToGrid w:val="0"/>
        <w:spacing w:line="42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（3）专著的著录格式：</w:t>
      </w:r>
    </w:p>
    <w:p>
      <w:pPr>
        <w:snapToGrid w:val="0"/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主要责任者.题名:其他题名信息[文献类型标志(电子文献必备，其他文献任选)].其他责任者(任选).版本项.出版地:出版者,出版年:引文页码[引用日期(联机文献必备，其他电子文献任选)].获取和访问路径(联机文献必备).</w:t>
      </w:r>
    </w:p>
    <w:p>
      <w:pPr>
        <w:snapToGrid w:val="0"/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余兴安.激励的理论与制度创新[M].北京:国家行政学院出版社,2005:106-132.</w:t>
      </w:r>
    </w:p>
    <w:p>
      <w:pPr>
        <w:snapToGrid w:val="0"/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（4）专著中析出的文献著录格式：</w:t>
      </w:r>
    </w:p>
    <w:p>
      <w:pPr>
        <w:snapToGrid w:val="0"/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析出文献主要责任者.析出文献题名[文献类型标志(电子文献必备，其他文献任选)].析出文献其他责任者(任选)//专著主要责任者.专著题名:其他题名信息.版本项.出版地:出版者,出版年:析出文献的页码[引用日期(联机文献必备，其他电子文献任选)].获取和访问路径(联机文献必备).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马克思.关于《工资、价格和利润》的报告札记[M]//马克思,恩格斯.马克思恩格斯全集:第44卷.北京:人民出版社,1982:505.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（5）译著文献著录格式：</w:t>
      </w:r>
    </w:p>
    <w:p>
      <w:pPr>
        <w:snapToGrid w:val="0"/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原著主要责任者姓名(著),译者姓名(译).题名:其他题名信息[文献类型标志(电子文献必备，其他文献任选)].出版地:出版者,出版年:引文页码[引用日期(联机文献必备，其他电子文献任选)].获取和访问路径(联机文献必备).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美国薪酬协会(编著),朱飞(译).整体薪酬手册:人力资源专家的综合指引.北京:企业管理出版社,2012:105-120.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（6）硕博学位论文著录格式：</w:t>
      </w:r>
    </w:p>
    <w:p>
      <w:pPr>
        <w:snapToGrid w:val="0"/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主要责任者.题名:其他题名信息.所属单位博士学位论文.发表年.</w:t>
      </w:r>
    </w:p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郭志刚.无边界组织下雇用关系研究.西南财经大学博士学位论文.2007.</w:t>
      </w:r>
    </w:p>
    <w:p>
      <w:pPr>
        <w:snapToGrid w:val="0"/>
        <w:spacing w:line="420" w:lineRule="exact"/>
        <w:rPr>
          <w:rFonts w:ascii="Calibri" w:hAnsi="Calibri"/>
          <w:sz w:val="24"/>
          <w:szCs w:val="24"/>
        </w:rPr>
      </w:pPr>
      <w:r>
        <w:rPr>
          <w:rFonts w:hint="eastAsia" w:ascii="Calibri" w:hAnsi="Calibri"/>
          <w:sz w:val="24"/>
          <w:szCs w:val="24"/>
        </w:rPr>
        <w:t xml:space="preserve">    </w:t>
      </w:r>
      <w:r>
        <w:rPr>
          <w:rFonts w:hint="eastAsia" w:ascii="Calibri" w:hAnsi="Calibri"/>
          <w:b/>
          <w:sz w:val="24"/>
          <w:szCs w:val="24"/>
        </w:rPr>
        <w:t>7.审稿周期。</w:t>
      </w:r>
      <w:r>
        <w:rPr>
          <w:rFonts w:hint="eastAsia" w:ascii="Calibri" w:hAnsi="Calibri"/>
          <w:sz w:val="24"/>
          <w:szCs w:val="24"/>
        </w:rPr>
        <w:t>本刊审稿周期一般是三个月。所有来稿均经过“初审—复审—退修—主编”的处理流程，其中复审和退修环节可能反复出现。编辑部每月定期将通过初审的文章送交匿名复审，并向作者反馈复审意见。如果超过三个月未接到任何通知，作者可自行处理，但请向编辑部确认。</w:t>
      </w:r>
    </w:p>
    <w:p>
      <w:pPr>
        <w:snapToGrid w:val="0"/>
        <w:spacing w:line="420" w:lineRule="exact"/>
        <w:rPr>
          <w:rFonts w:ascii="Calibri" w:hAnsi="Calibri"/>
          <w:sz w:val="24"/>
          <w:szCs w:val="24"/>
        </w:rPr>
      </w:pPr>
      <w:r>
        <w:rPr>
          <w:rFonts w:hint="eastAsia" w:ascii="Calibri" w:hAnsi="Calibri"/>
          <w:sz w:val="24"/>
          <w:szCs w:val="24"/>
        </w:rPr>
        <w:t xml:space="preserve">    </w:t>
      </w:r>
      <w:r>
        <w:rPr>
          <w:rFonts w:hint="eastAsia" w:ascii="Calibri" w:hAnsi="Calibri"/>
          <w:b/>
          <w:sz w:val="24"/>
          <w:szCs w:val="24"/>
        </w:rPr>
        <w:t>8.版权问题。</w:t>
      </w:r>
      <w:r>
        <w:rPr>
          <w:rFonts w:hint="eastAsia" w:ascii="Calibri" w:hAnsi="Calibri"/>
          <w:sz w:val="24"/>
          <w:szCs w:val="24"/>
        </w:rPr>
        <w:t>作者在投稿时须承诺“专投该刊，绝不一稿多投”。若经发现一稿多投，本刊将不再刊发其作品。文章在《中国人事科学》发表后，其版权归《中国人事科学》编辑部所有。若作者希望将文章用于商业用途（如以书籍或网络形式重新出版其文章），须获得《中国人事科学》编辑部的书面许可。</w:t>
      </w:r>
    </w:p>
    <w:p>
      <w:pPr>
        <w:snapToGrid w:val="0"/>
        <w:spacing w:line="420" w:lineRule="exact"/>
        <w:ind w:firstLine="540"/>
        <w:rPr>
          <w:rFonts w:ascii="Calibri" w:hAnsi="Calibri"/>
          <w:sz w:val="24"/>
          <w:szCs w:val="24"/>
        </w:rPr>
      </w:pPr>
      <w:r>
        <w:rPr>
          <w:rFonts w:hint="eastAsia" w:ascii="Calibri" w:hAnsi="Calibri"/>
          <w:b/>
          <w:sz w:val="24"/>
          <w:szCs w:val="24"/>
        </w:rPr>
        <w:t>9.重要声明。</w:t>
      </w:r>
      <w:r>
        <w:rPr>
          <w:rFonts w:hint="eastAsia" w:ascii="Calibri" w:hAnsi="Calibri"/>
          <w:sz w:val="24"/>
          <w:szCs w:val="24"/>
        </w:rPr>
        <w:t>为维护广大作者、读者的利益及《中国人事科学》的声誉，特此声明：对未经允许以《中国人事科学》编辑部名义约稿、组稿、征稿而引发的相关问题，编辑部不承担任何法律责任，并保留追究其法律责任的权利。</w:t>
      </w:r>
    </w:p>
    <w:p>
      <w:pPr>
        <w:snapToGrid w:val="0"/>
        <w:spacing w:line="420" w:lineRule="exact"/>
        <w:ind w:firstLine="54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10.特别说明。</w:t>
      </w:r>
      <w:r>
        <w:rPr>
          <w:rFonts w:hint="eastAsia"/>
          <w:sz w:val="24"/>
          <w:szCs w:val="24"/>
        </w:rPr>
        <w:t>为适应我国信息化建设，扩大本刊及作者知识信息交流渠道，本刊已被《中国学术期刊网络出版总库》级CNKI等系列数据库收录，其作者文章著作权使用费与本刊稿酬一次性给付。免费提供作者文章引用统计分析资料。如作者不同意被收录，请在来稿时向本刊声明，本刊将作适当处理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13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43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XXT</dc:creator>
  <cp:lastModifiedBy>忄</cp:lastModifiedBy>
  <dcterms:modified xsi:type="dcterms:W3CDTF">2018-06-22T05:09:48Z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